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EA" w:rsidRDefault="002405EA" w:rsidP="002405EA">
      <w:pPr>
        <w:pStyle w:val="1"/>
        <w:spacing w:line="360" w:lineRule="auto"/>
        <w:rPr>
          <w:sz w:val="28"/>
        </w:rPr>
      </w:pPr>
      <w:r>
        <w:t>(108-88-3)甲苯的理化及危险特性表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2405E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中文名：甲苯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methylbenzene</w:t>
            </w:r>
            <w:r>
              <w:rPr>
                <w:rFonts w:ascii="宋体" w:hAnsi="宋体"/>
                <w:lang w:val="en-GB"/>
              </w:rPr>
              <w:t>；</w:t>
            </w:r>
            <w:r>
              <w:rPr>
                <w:rFonts w:ascii="宋体" w:hAnsi="宋体" w:hint="eastAsia"/>
              </w:rPr>
              <w:t>Toluene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/>
                <w:vertAlign w:val="subscript"/>
              </w:rPr>
              <w:t>7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/>
                <w:vertAlign w:val="subscript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 xml:space="preserve">分子量：  </w:t>
            </w:r>
            <w:r>
              <w:rPr>
                <w:rFonts w:ascii="宋体" w:hAnsi="宋体"/>
              </w:rPr>
              <w:t>92</w:t>
            </w:r>
            <w:r>
              <w:rPr>
                <w:rFonts w:ascii="宋体" w:hAnsi="宋体" w:hint="eastAsia"/>
              </w:rPr>
              <w:t>.14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/>
              </w:rPr>
              <w:t>1294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32052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CAS号：108-88-3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外观与性状：无色透明液体，有类似苯的芳香气味。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溶解性：不溶于水，可混溶于苯、醇、醚等多数有机溶剂。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熔点（℃）：－94.9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沸点（℃）：110.6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相对密度（水＝1）：0.87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相对密度（空气＝1）：3.14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饱和蒸气压（kPa）：4.89(30℃)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燃烧热（kJ/mol）：3905.0</w:t>
            </w:r>
          </w:p>
        </w:tc>
      </w:tr>
      <w:tr w:rsidR="002405EA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临界温度（℃）：318.6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临界压力（MPa）：4.11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爆炸下限（%）：1.2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爆炸上限（%）：7.0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引燃温度（℃）：535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最小点火能（mJ）：2.5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最大爆炸压力（MPa）：0.666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强氧化剂。</w:t>
            </w:r>
          </w:p>
        </w:tc>
      </w:tr>
      <w:tr w:rsidR="002405EA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其蒸气与空气可形成爆炸性混合物。遇明火、高热能引起燃烧爆炸。与氧化剂能发生强烈反应。流速过快，容易产生和聚集静电，有燃烧爆炸危险。其蒸气比空气重，能在较低处扩散到相当远的地方，遇明火会引着回燃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灭火方法：喷水冷却容器，可能的话将容器从火场移至空旷处。处在火场中的容器若已变色或从安全泄压装置中产生声音，必须马上撤离。灭火剂：抗溶性泡沫、干粉、二氧化碳、砂土。用水灭火无效。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：12124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：20003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，8小时(大鼠吸入) </w:t>
            </w:r>
          </w:p>
        </w:tc>
      </w:tr>
      <w:tr w:rsidR="002405EA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2405EA" w:rsidTr="0090435F">
        <w:trPr>
          <w:cantSplit/>
          <w:trHeight w:val="1140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对皮肤、粘膜有剌激性，对中枢神经系统有麻醉作用。急性中毒：短时间内吸入较高浓度本品可出现眼及上呼吸道明显的剌激症状、眼结膜及咽部充血、头痛、头晕、恶心、呕吐、胸闷、四肢无力、步态蹒跚、意识模糊。重症者可有躁动、抽搐、昏迷。   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慢性中毒：长期接触可发生神经衰弱综合症，肝肿大，女工月经异常等。皮肤干燥、皲裂、皮炎。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※眼睛接触：立即提起眼睑，用流动清水或生理盐水冲洗。就医。   ※吸入：迅速脱离现场至空气新鲜处。保持呼吸道通畅。如呼吸困难，给输氧。如呼吸停止，立即进行人工呼吸，就医。    ※食入：饮足量温水，催吐，就医。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  ※呼吸系统防护：空气中浓度超标时，佩戴自吸过滤式防毒面具（半面罩）。紧急事态抢救或撒离时，应佩戴空气呼吸器或氧气呼吸器。    ※眼睛防护：戴化学安全防护眼镜。   ※身体防护：穿防毒物渗透工作服。   ※手防护：戴乳胶手套。   ※其他：工作现场严禁吸烟、进食和饮水。工作毕，淋浴更衣。保持良好的卫生习惯。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隔离，严格限制出入。切断火源。建议应急处理人员戴自给正压式呼吸器，穿消防防护服。尽可能切断泄漏源，防止进入下水道、排洪沟等限制性空间。小量泄漏：用活性炭或其他惰性材料吸收。也可以用不燃性分散剂制成的乳液刷洗，洗液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2405E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2405EA" w:rsidRDefault="002405EA" w:rsidP="0090435F">
            <w:pPr>
              <w:spacing w:line="25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EA" w:rsidRDefault="002405EA" w:rsidP="0090435F">
            <w:pPr>
              <w:spacing w:line="25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，储存间内的照明、通风等设施应采用防爆型，开关设在仓外。配备相应品种和数量的消防器材。桶装堆垛不可过大，应留墙距、顶距、柱距及必要的防火检查走道。罐储时要有防火放爆技术措施。露天贮罐夏季要有降温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EA"/>
    <w:rsid w:val="002405E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6035F-BD74-4CAF-983A-9954206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405E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405E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>zyhq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